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B23A4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04E5302F" w14:textId="545FB7B6" w:rsidR="002316CF" w:rsidRPr="002316CF" w:rsidRDefault="002316CF">
      <w:pPr>
        <w:pStyle w:val="Normal1"/>
        <w:spacing w:line="276" w:lineRule="auto"/>
        <w:jc w:val="both"/>
        <w:rPr>
          <w:rFonts w:ascii="Verdana" w:eastAsia="Verdana" w:hAnsi="Verdana" w:cs="Verdana"/>
          <w:b/>
          <w:u w:val="single"/>
        </w:rPr>
      </w:pPr>
      <w:r w:rsidRPr="002316CF">
        <w:rPr>
          <w:rFonts w:ascii="Verdana" w:eastAsia="Verdana" w:hAnsi="Verdana" w:cs="Verdana"/>
          <w:b/>
          <w:u w:val="single"/>
        </w:rPr>
        <w:t>Taula de valoració CAE 2026-2030</w:t>
      </w:r>
    </w:p>
    <w:p w14:paraId="3D37D9A2" w14:textId="77777777" w:rsidR="002316CF" w:rsidRPr="00EB0496" w:rsidRDefault="002316CF" w:rsidP="002316CF"/>
    <w:tbl>
      <w:tblPr>
        <w:tblStyle w:val="Tablaconcuadrcula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6"/>
        <w:gridCol w:w="7087"/>
        <w:gridCol w:w="168"/>
        <w:gridCol w:w="1250"/>
        <w:gridCol w:w="1134"/>
      </w:tblGrid>
      <w:tr w:rsidR="002316CF" w:rsidRPr="002316CF" w14:paraId="3FED7080" w14:textId="77777777" w:rsidTr="002316CF">
        <w:tc>
          <w:tcPr>
            <w:tcW w:w="7513" w:type="dxa"/>
            <w:gridSpan w:val="2"/>
            <w:vAlign w:val="center"/>
          </w:tcPr>
          <w:p w14:paraId="22A501AE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2316CF">
              <w:rPr>
                <w:rFonts w:ascii="Verdana" w:hAnsi="Verdana"/>
                <w:b/>
                <w:lang w:val="ca-ES"/>
              </w:rPr>
              <w:t>Criteris automàtics: Fins a 60 punts</w:t>
            </w:r>
          </w:p>
        </w:tc>
        <w:tc>
          <w:tcPr>
            <w:tcW w:w="1418" w:type="dxa"/>
            <w:gridSpan w:val="2"/>
            <w:vAlign w:val="center"/>
          </w:tcPr>
          <w:p w14:paraId="2F3E4448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puntuació</w:t>
            </w:r>
          </w:p>
        </w:tc>
        <w:tc>
          <w:tcPr>
            <w:tcW w:w="1134" w:type="dxa"/>
            <w:vAlign w:val="center"/>
          </w:tcPr>
          <w:p w14:paraId="02CE505B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marcar</w:t>
            </w:r>
          </w:p>
        </w:tc>
      </w:tr>
      <w:tr w:rsidR="002316CF" w:rsidRPr="002316CF" w14:paraId="43B94DE7" w14:textId="77777777" w:rsidTr="00B32163">
        <w:tc>
          <w:tcPr>
            <w:tcW w:w="10065" w:type="dxa"/>
            <w:gridSpan w:val="5"/>
            <w:vAlign w:val="center"/>
          </w:tcPr>
          <w:p w14:paraId="1301B63F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2316CF">
              <w:rPr>
                <w:rFonts w:ascii="Verdana" w:hAnsi="Verdana"/>
                <w:b/>
                <w:lang w:val="ca-ES"/>
              </w:rPr>
              <w:t>1) Es valorarà els idiomes disponibles en l’aplicació:</w:t>
            </w:r>
          </w:p>
        </w:tc>
      </w:tr>
      <w:tr w:rsidR="002316CF" w:rsidRPr="002316CF" w14:paraId="625AB082" w14:textId="77777777" w:rsidTr="002316CF">
        <w:tc>
          <w:tcPr>
            <w:tcW w:w="426" w:type="dxa"/>
            <w:vAlign w:val="center"/>
          </w:tcPr>
          <w:p w14:paraId="36EE678B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087" w:type="dxa"/>
            <w:vAlign w:val="center"/>
          </w:tcPr>
          <w:p w14:paraId="7307040D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Si únicament es disposa en català, castellà i anglès</w:t>
            </w:r>
          </w:p>
        </w:tc>
        <w:tc>
          <w:tcPr>
            <w:tcW w:w="1418" w:type="dxa"/>
            <w:gridSpan w:val="2"/>
            <w:vAlign w:val="center"/>
          </w:tcPr>
          <w:p w14:paraId="6F336EA4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134" w:type="dxa"/>
            <w:vAlign w:val="center"/>
          </w:tcPr>
          <w:p w14:paraId="2328769A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316CF" w:rsidRPr="002316CF" w14:paraId="33491825" w14:textId="77777777" w:rsidTr="002316CF">
        <w:tc>
          <w:tcPr>
            <w:tcW w:w="426" w:type="dxa"/>
            <w:vAlign w:val="center"/>
          </w:tcPr>
          <w:p w14:paraId="4C325EC4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087" w:type="dxa"/>
            <w:vAlign w:val="center"/>
          </w:tcPr>
          <w:p w14:paraId="436A627D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Si a més de les llengües obligatòries (català, castellà i anglès) disposa de francès</w:t>
            </w:r>
          </w:p>
        </w:tc>
        <w:tc>
          <w:tcPr>
            <w:tcW w:w="1418" w:type="dxa"/>
            <w:gridSpan w:val="2"/>
            <w:vAlign w:val="center"/>
          </w:tcPr>
          <w:p w14:paraId="635134B8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5</w:t>
            </w:r>
          </w:p>
        </w:tc>
        <w:tc>
          <w:tcPr>
            <w:tcW w:w="1134" w:type="dxa"/>
            <w:vAlign w:val="center"/>
          </w:tcPr>
          <w:p w14:paraId="3D60527B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316CF" w:rsidRPr="002316CF" w14:paraId="54A61D31" w14:textId="77777777" w:rsidTr="002316CF">
        <w:tc>
          <w:tcPr>
            <w:tcW w:w="426" w:type="dxa"/>
            <w:vAlign w:val="center"/>
          </w:tcPr>
          <w:p w14:paraId="163006A8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087" w:type="dxa"/>
            <w:vAlign w:val="center"/>
          </w:tcPr>
          <w:p w14:paraId="4B7C0BE2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Si a més de les llengües obligatòries (català, castellà i anglès)  disposa de francès i altres llengües</w:t>
            </w:r>
          </w:p>
        </w:tc>
        <w:tc>
          <w:tcPr>
            <w:tcW w:w="1418" w:type="dxa"/>
            <w:gridSpan w:val="2"/>
            <w:vAlign w:val="center"/>
          </w:tcPr>
          <w:p w14:paraId="70E0C76C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10</w:t>
            </w:r>
          </w:p>
        </w:tc>
        <w:tc>
          <w:tcPr>
            <w:tcW w:w="1134" w:type="dxa"/>
            <w:vAlign w:val="center"/>
          </w:tcPr>
          <w:p w14:paraId="7A4F70C5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316CF" w:rsidRPr="002316CF" w14:paraId="2ECD6949" w14:textId="77777777" w:rsidTr="00B32163">
        <w:tc>
          <w:tcPr>
            <w:tcW w:w="10065" w:type="dxa"/>
            <w:gridSpan w:val="5"/>
            <w:vAlign w:val="center"/>
          </w:tcPr>
          <w:p w14:paraId="03BAC2BC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2316CF">
              <w:rPr>
                <w:rFonts w:ascii="Verdana" w:hAnsi="Verdana"/>
                <w:b/>
                <w:lang w:val="ca-ES"/>
              </w:rPr>
              <w:t>2) ) Es valorarà el bloqueig d’actuació si hi ha tasques pendents per part del proveïdor</w:t>
            </w:r>
          </w:p>
        </w:tc>
      </w:tr>
      <w:tr w:rsidR="002316CF" w:rsidRPr="002316CF" w14:paraId="54A992F1" w14:textId="77777777" w:rsidTr="002316CF">
        <w:tc>
          <w:tcPr>
            <w:tcW w:w="426" w:type="dxa"/>
            <w:vAlign w:val="center"/>
          </w:tcPr>
          <w:p w14:paraId="194CD7D5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087" w:type="dxa"/>
            <w:vAlign w:val="center"/>
          </w:tcPr>
          <w:p w14:paraId="3400D6B4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Si es pot seguir adjuntant documentació sense tenir llegits i marcats els documents d’obligada lectura:</w:t>
            </w:r>
          </w:p>
        </w:tc>
        <w:tc>
          <w:tcPr>
            <w:tcW w:w="1418" w:type="dxa"/>
            <w:gridSpan w:val="2"/>
            <w:vAlign w:val="center"/>
          </w:tcPr>
          <w:p w14:paraId="1F398671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134" w:type="dxa"/>
            <w:vAlign w:val="center"/>
          </w:tcPr>
          <w:p w14:paraId="7CE768BA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316CF" w:rsidRPr="002316CF" w14:paraId="0BC9DED7" w14:textId="77777777" w:rsidTr="002316CF">
        <w:tc>
          <w:tcPr>
            <w:tcW w:w="426" w:type="dxa"/>
            <w:vAlign w:val="center"/>
          </w:tcPr>
          <w:p w14:paraId="08770CA2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087" w:type="dxa"/>
            <w:vAlign w:val="center"/>
          </w:tcPr>
          <w:p w14:paraId="5A2C579A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Si es bloqueja l’accés al proveïdor a actualitzar documentació si no s’han llegit i marcats com a llegits els documents d’obligada lectura</w:t>
            </w:r>
          </w:p>
        </w:tc>
        <w:tc>
          <w:tcPr>
            <w:tcW w:w="1418" w:type="dxa"/>
            <w:gridSpan w:val="2"/>
            <w:vAlign w:val="center"/>
          </w:tcPr>
          <w:p w14:paraId="722983FC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10</w:t>
            </w:r>
          </w:p>
        </w:tc>
        <w:tc>
          <w:tcPr>
            <w:tcW w:w="1134" w:type="dxa"/>
            <w:vAlign w:val="center"/>
          </w:tcPr>
          <w:p w14:paraId="3DB960F8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316CF" w:rsidRPr="002316CF" w14:paraId="143CD5F7" w14:textId="77777777" w:rsidTr="00B32163">
        <w:tc>
          <w:tcPr>
            <w:tcW w:w="10065" w:type="dxa"/>
            <w:gridSpan w:val="5"/>
            <w:vAlign w:val="center"/>
          </w:tcPr>
          <w:p w14:paraId="5A76A24A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2316CF">
              <w:rPr>
                <w:rFonts w:ascii="Verdana" w:hAnsi="Verdana"/>
                <w:b/>
                <w:lang w:val="ca-ES"/>
              </w:rPr>
              <w:t>3) Es valorarà la validació de la RNT de manera automàtica</w:t>
            </w:r>
          </w:p>
        </w:tc>
      </w:tr>
      <w:tr w:rsidR="002316CF" w:rsidRPr="002316CF" w14:paraId="5B731C48" w14:textId="77777777" w:rsidTr="002316CF">
        <w:tc>
          <w:tcPr>
            <w:tcW w:w="426" w:type="dxa"/>
            <w:vAlign w:val="center"/>
          </w:tcPr>
          <w:p w14:paraId="7CE9197A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087" w:type="dxa"/>
            <w:vAlign w:val="center"/>
          </w:tcPr>
          <w:p w14:paraId="158358BB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Si es fa la validació de la RNT a nivell individual de treballador</w:t>
            </w:r>
          </w:p>
        </w:tc>
        <w:tc>
          <w:tcPr>
            <w:tcW w:w="1418" w:type="dxa"/>
            <w:gridSpan w:val="2"/>
            <w:vAlign w:val="center"/>
          </w:tcPr>
          <w:p w14:paraId="6AEFB7B3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134" w:type="dxa"/>
            <w:vAlign w:val="center"/>
          </w:tcPr>
          <w:p w14:paraId="09674FF5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316CF" w:rsidRPr="002316CF" w14:paraId="4ECA655F" w14:textId="77777777" w:rsidTr="002316CF">
        <w:tc>
          <w:tcPr>
            <w:tcW w:w="426" w:type="dxa"/>
            <w:vAlign w:val="center"/>
          </w:tcPr>
          <w:p w14:paraId="6A10CB6C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087" w:type="dxa"/>
            <w:vAlign w:val="center"/>
          </w:tcPr>
          <w:p w14:paraId="2158E333" w14:textId="49D8D5BB" w:rsidR="002316CF" w:rsidRPr="00F878A0" w:rsidRDefault="00F878A0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F878A0">
              <w:rPr>
                <w:rFonts w:ascii="Verdana" w:hAnsi="Verdana" w:cs="AppleSystemUIFont"/>
                <w:lang w:val="ca-ES"/>
              </w:rPr>
              <w:t>Si es fa la validació de la RNT a nivell d’empresa, només penjant el document a l’apartat de document d’empresa, la plataforma valida, sense necessitat de cap acció per part nostra, a tots els treballadors introduïts de l’empresa</w:t>
            </w:r>
            <w:r>
              <w:rPr>
                <w:rFonts w:ascii="Verdana" w:hAnsi="Verdana" w:cs="AppleSystemUIFont"/>
                <w:lang w:val="ca-ES"/>
              </w:rPr>
              <w:t>.</w:t>
            </w:r>
          </w:p>
        </w:tc>
        <w:tc>
          <w:tcPr>
            <w:tcW w:w="1418" w:type="dxa"/>
            <w:gridSpan w:val="2"/>
            <w:vAlign w:val="center"/>
          </w:tcPr>
          <w:p w14:paraId="6A10E3C2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10</w:t>
            </w:r>
          </w:p>
        </w:tc>
        <w:tc>
          <w:tcPr>
            <w:tcW w:w="1134" w:type="dxa"/>
            <w:vAlign w:val="center"/>
          </w:tcPr>
          <w:p w14:paraId="24FE6737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316CF" w:rsidRPr="002316CF" w14:paraId="1FFFBEBA" w14:textId="77777777" w:rsidTr="00B32163">
        <w:tc>
          <w:tcPr>
            <w:tcW w:w="10065" w:type="dxa"/>
            <w:gridSpan w:val="5"/>
            <w:vAlign w:val="center"/>
          </w:tcPr>
          <w:p w14:paraId="459FD6C9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2316CF">
              <w:rPr>
                <w:rFonts w:ascii="Verdana" w:hAnsi="Verdana"/>
                <w:b/>
                <w:lang w:val="ca-ES"/>
              </w:rPr>
              <w:t>4) Es valorarà la possible comunicació entre empreses proveïdores i BST</w:t>
            </w:r>
          </w:p>
        </w:tc>
      </w:tr>
      <w:tr w:rsidR="002316CF" w:rsidRPr="002316CF" w14:paraId="1EDB3FDB" w14:textId="77777777" w:rsidTr="002316CF">
        <w:tc>
          <w:tcPr>
            <w:tcW w:w="426" w:type="dxa"/>
            <w:vAlign w:val="center"/>
          </w:tcPr>
          <w:p w14:paraId="3144BA04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087" w:type="dxa"/>
            <w:vAlign w:val="center"/>
          </w:tcPr>
          <w:p w14:paraId="34A0FA21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Si existeix un quadre de text per comunicar el motiu de la denegació del document adjuntat per l’empresa</w:t>
            </w:r>
          </w:p>
        </w:tc>
        <w:tc>
          <w:tcPr>
            <w:tcW w:w="1418" w:type="dxa"/>
            <w:gridSpan w:val="2"/>
            <w:vAlign w:val="center"/>
          </w:tcPr>
          <w:p w14:paraId="1EA89331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134" w:type="dxa"/>
            <w:vAlign w:val="center"/>
          </w:tcPr>
          <w:p w14:paraId="4423720D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316CF" w:rsidRPr="002316CF" w14:paraId="21C7A0B8" w14:textId="77777777" w:rsidTr="002316CF">
        <w:tc>
          <w:tcPr>
            <w:tcW w:w="426" w:type="dxa"/>
            <w:vAlign w:val="center"/>
          </w:tcPr>
          <w:p w14:paraId="5C2D73F2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087" w:type="dxa"/>
            <w:vAlign w:val="center"/>
          </w:tcPr>
          <w:p w14:paraId="56C5FE61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Si existeix un quadre de text lliure per fer comentari sobre el document adjuntat per part del proveïdor al BST</w:t>
            </w:r>
          </w:p>
        </w:tc>
        <w:tc>
          <w:tcPr>
            <w:tcW w:w="1418" w:type="dxa"/>
            <w:gridSpan w:val="2"/>
            <w:vAlign w:val="center"/>
          </w:tcPr>
          <w:p w14:paraId="04BCA58F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5</w:t>
            </w:r>
          </w:p>
        </w:tc>
        <w:tc>
          <w:tcPr>
            <w:tcW w:w="1134" w:type="dxa"/>
            <w:vAlign w:val="center"/>
          </w:tcPr>
          <w:p w14:paraId="54281C04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316CF" w:rsidRPr="002316CF" w14:paraId="6F28F0F5" w14:textId="77777777" w:rsidTr="002316CF">
        <w:tc>
          <w:tcPr>
            <w:tcW w:w="426" w:type="dxa"/>
            <w:vAlign w:val="center"/>
          </w:tcPr>
          <w:p w14:paraId="026D6F77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087" w:type="dxa"/>
            <w:vAlign w:val="center"/>
          </w:tcPr>
          <w:p w14:paraId="3B59D9AF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Si existeix un quadre de text lliure en tots els apartats on es puja documentació sigui validat o invalidat, per posar anotacions per pròximes pujades de documentació/ validacions/ invalidacions i amb registre d’accions</w:t>
            </w:r>
          </w:p>
        </w:tc>
        <w:tc>
          <w:tcPr>
            <w:tcW w:w="1418" w:type="dxa"/>
            <w:gridSpan w:val="2"/>
            <w:vAlign w:val="center"/>
          </w:tcPr>
          <w:p w14:paraId="0100E3ED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10</w:t>
            </w:r>
          </w:p>
        </w:tc>
        <w:tc>
          <w:tcPr>
            <w:tcW w:w="1134" w:type="dxa"/>
            <w:vAlign w:val="center"/>
          </w:tcPr>
          <w:p w14:paraId="1A349AF2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316CF" w:rsidRPr="002316CF" w14:paraId="72145D0E" w14:textId="77777777" w:rsidTr="00B32163">
        <w:tc>
          <w:tcPr>
            <w:tcW w:w="10065" w:type="dxa"/>
            <w:gridSpan w:val="5"/>
          </w:tcPr>
          <w:p w14:paraId="6A5FA39B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2316CF">
              <w:rPr>
                <w:rFonts w:ascii="Verdana" w:hAnsi="Verdana"/>
                <w:b/>
                <w:lang w:val="ca-ES"/>
              </w:rPr>
              <w:t>5) Es valorarà la possibilitat de fer autoritzacions temporals dels treballadors de les empreses proveïdores en cas de documents inexistents, caducats o en curs d’actualització</w:t>
            </w:r>
          </w:p>
        </w:tc>
      </w:tr>
      <w:tr w:rsidR="002316CF" w:rsidRPr="002316CF" w14:paraId="35EE3607" w14:textId="77777777" w:rsidTr="00B32163">
        <w:tc>
          <w:tcPr>
            <w:tcW w:w="426" w:type="dxa"/>
          </w:tcPr>
          <w:p w14:paraId="1242C392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255" w:type="dxa"/>
            <w:gridSpan w:val="2"/>
          </w:tcPr>
          <w:p w14:paraId="265577A8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Si només es pot ampliar el període canviant data del document adjuntat caducat o inexistent</w:t>
            </w:r>
          </w:p>
        </w:tc>
        <w:tc>
          <w:tcPr>
            <w:tcW w:w="1250" w:type="dxa"/>
            <w:vAlign w:val="center"/>
          </w:tcPr>
          <w:p w14:paraId="37DC23AD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134" w:type="dxa"/>
          </w:tcPr>
          <w:p w14:paraId="13516DCE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316CF" w:rsidRPr="002316CF" w14:paraId="642B0D8F" w14:textId="77777777" w:rsidTr="00B32163">
        <w:tc>
          <w:tcPr>
            <w:tcW w:w="426" w:type="dxa"/>
          </w:tcPr>
          <w:p w14:paraId="0E9B7B3E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255" w:type="dxa"/>
            <w:gridSpan w:val="2"/>
          </w:tcPr>
          <w:p w14:paraId="7DD3C50C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 xml:space="preserve">Si es pot fer una autorització temporal d’accés, indicada a </w:t>
            </w:r>
            <w:proofErr w:type="spellStart"/>
            <w:r w:rsidRPr="002316CF">
              <w:rPr>
                <w:rFonts w:ascii="Verdana" w:hAnsi="Verdana"/>
                <w:lang w:val="ca-ES"/>
              </w:rPr>
              <w:t>l’aplicatiu</w:t>
            </w:r>
            <w:proofErr w:type="spellEnd"/>
            <w:r w:rsidRPr="002316CF">
              <w:rPr>
                <w:rFonts w:ascii="Verdana" w:hAnsi="Verdana"/>
                <w:lang w:val="ca-ES"/>
              </w:rPr>
              <w:t xml:space="preserve"> amb un color diferent, a la pantalla de control d’accessos amb data d’inici i fi de l’autorització, motiu de l’autorització i persona que fa l’autorització</w:t>
            </w:r>
          </w:p>
        </w:tc>
        <w:tc>
          <w:tcPr>
            <w:tcW w:w="1250" w:type="dxa"/>
            <w:vAlign w:val="center"/>
          </w:tcPr>
          <w:p w14:paraId="403B6129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10</w:t>
            </w:r>
          </w:p>
        </w:tc>
        <w:tc>
          <w:tcPr>
            <w:tcW w:w="1134" w:type="dxa"/>
          </w:tcPr>
          <w:p w14:paraId="410B28DA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</w:tbl>
    <w:p w14:paraId="3F98D483" w14:textId="77777777" w:rsidR="002316CF" w:rsidRDefault="002316CF">
      <w:r>
        <w:br w:type="page"/>
      </w:r>
    </w:p>
    <w:tbl>
      <w:tblPr>
        <w:tblStyle w:val="Tablaconcuadrcula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6"/>
        <w:gridCol w:w="7255"/>
        <w:gridCol w:w="1250"/>
        <w:gridCol w:w="1134"/>
      </w:tblGrid>
      <w:tr w:rsidR="002316CF" w:rsidRPr="002316CF" w14:paraId="2EE5532D" w14:textId="77777777" w:rsidTr="00B32163">
        <w:tc>
          <w:tcPr>
            <w:tcW w:w="10065" w:type="dxa"/>
            <w:gridSpan w:val="4"/>
          </w:tcPr>
          <w:p w14:paraId="62B40309" w14:textId="6F08CC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2316CF">
              <w:rPr>
                <w:rFonts w:ascii="Verdana" w:hAnsi="Verdana"/>
                <w:b/>
                <w:lang w:val="ca-ES"/>
              </w:rPr>
              <w:lastRenderedPageBreak/>
              <w:t>6) Es valorarà les possibilitats d’accés dels usuaris/proveïdors a la plataforma.</w:t>
            </w:r>
          </w:p>
        </w:tc>
      </w:tr>
      <w:tr w:rsidR="002316CF" w:rsidRPr="002316CF" w14:paraId="5D6BC09B" w14:textId="77777777" w:rsidTr="00B32163">
        <w:tc>
          <w:tcPr>
            <w:tcW w:w="426" w:type="dxa"/>
          </w:tcPr>
          <w:p w14:paraId="2EB4B632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255" w:type="dxa"/>
          </w:tcPr>
          <w:p w14:paraId="65BE75A0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Si un correu electrònic (</w:t>
            </w:r>
            <w:hyperlink r:id="rId7" w:history="1">
              <w:r w:rsidRPr="002316CF">
                <w:rPr>
                  <w:rFonts w:ascii="Verdana" w:hAnsi="Verdana"/>
                  <w:lang w:val="ca-ES"/>
                </w:rPr>
                <w:t>abc@bst.com</w:t>
              </w:r>
            </w:hyperlink>
            <w:r w:rsidRPr="002316CF">
              <w:rPr>
                <w:rFonts w:ascii="Verdana" w:hAnsi="Verdana"/>
                <w:lang w:val="ca-ES"/>
              </w:rPr>
              <w:t>) només pot gestionar una empresa proveïdora</w:t>
            </w:r>
          </w:p>
        </w:tc>
        <w:tc>
          <w:tcPr>
            <w:tcW w:w="1250" w:type="dxa"/>
            <w:vAlign w:val="center"/>
          </w:tcPr>
          <w:p w14:paraId="56B376AE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134" w:type="dxa"/>
          </w:tcPr>
          <w:p w14:paraId="3DDCDF35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2316CF" w:rsidRPr="002316CF" w14:paraId="49EC5610" w14:textId="77777777" w:rsidTr="00B32163">
        <w:tc>
          <w:tcPr>
            <w:tcW w:w="426" w:type="dxa"/>
          </w:tcPr>
          <w:p w14:paraId="09C8D7AC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7255" w:type="dxa"/>
          </w:tcPr>
          <w:p w14:paraId="7906A165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Si un correu electrònic (</w:t>
            </w:r>
            <w:hyperlink r:id="rId8" w:history="1">
              <w:r w:rsidRPr="002316CF">
                <w:rPr>
                  <w:rFonts w:ascii="Verdana" w:hAnsi="Verdana"/>
                  <w:lang w:val="ca-ES"/>
                </w:rPr>
                <w:t>abc@bst.com</w:t>
              </w:r>
            </w:hyperlink>
            <w:r w:rsidRPr="002316CF">
              <w:rPr>
                <w:rFonts w:ascii="Verdana" w:hAnsi="Verdana"/>
                <w:lang w:val="ca-ES"/>
              </w:rPr>
              <w:t>) pot servir per gestionar 2 o mes empreses</w:t>
            </w:r>
          </w:p>
        </w:tc>
        <w:tc>
          <w:tcPr>
            <w:tcW w:w="1250" w:type="dxa"/>
            <w:vAlign w:val="center"/>
          </w:tcPr>
          <w:p w14:paraId="0E6A9D93" w14:textId="77777777" w:rsidR="002316CF" w:rsidRPr="002316CF" w:rsidRDefault="002316CF" w:rsidP="002316CF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2316CF">
              <w:rPr>
                <w:rFonts w:ascii="Verdana" w:hAnsi="Verdana"/>
                <w:lang w:val="ca-ES"/>
              </w:rPr>
              <w:t>10</w:t>
            </w:r>
          </w:p>
        </w:tc>
        <w:tc>
          <w:tcPr>
            <w:tcW w:w="1134" w:type="dxa"/>
          </w:tcPr>
          <w:p w14:paraId="2B2BC9E0" w14:textId="77777777" w:rsidR="002316CF" w:rsidRPr="002316CF" w:rsidRDefault="002316CF" w:rsidP="002316CF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</w:tbl>
    <w:p w14:paraId="0AAE8CCA" w14:textId="77777777" w:rsidR="002316CF" w:rsidRPr="00EB0496" w:rsidRDefault="002316CF" w:rsidP="002316CF"/>
    <w:p w14:paraId="67763764" w14:textId="77777777" w:rsidR="002316CF" w:rsidRDefault="002316CF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1FABEF3" w14:textId="5814A6C6" w:rsidR="001E5984" w:rsidRDefault="00C076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Signatura</w:t>
      </w:r>
      <w:bookmarkStart w:id="0" w:name="_GoBack"/>
      <w:bookmarkEnd w:id="0"/>
    </w:p>
    <w:sectPr w:rsidR="001E5984" w:rsidSect="00DA61AD">
      <w:headerReference w:type="default" r:id="rId9"/>
      <w:footerReference w:type="default" r:id="rId10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5FA350F" w16cex:dateUtc="2025-11-06T09:33:00Z"/>
  <w16cex:commentExtensible w16cex:durableId="7E6BFCEF" w16cex:dateUtc="2025-11-06T09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A7BAA6B" w16cid:durableId="05FA350F"/>
  <w16cid:commentId w16cid:paraId="18B96E66" w16cid:durableId="7E6BFCE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1D18D" w14:textId="77777777" w:rsidR="009F61B8" w:rsidRDefault="009F61B8">
      <w:r>
        <w:separator/>
      </w:r>
    </w:p>
  </w:endnote>
  <w:endnote w:type="continuationSeparator" w:id="0">
    <w:p w14:paraId="3007BEED" w14:textId="77777777" w:rsidR="009F61B8" w:rsidRDefault="009F6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eastAsia="ca-ES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56E24" w14:textId="77777777" w:rsidR="009F61B8" w:rsidRDefault="009F61B8">
      <w:r>
        <w:separator/>
      </w:r>
    </w:p>
  </w:footnote>
  <w:footnote w:type="continuationSeparator" w:id="0">
    <w:p w14:paraId="19F906DB" w14:textId="77777777" w:rsidR="009F61B8" w:rsidRDefault="009F6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eastAsia="ca-ES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0910BB"/>
    <w:rsid w:val="001E5984"/>
    <w:rsid w:val="002316CF"/>
    <w:rsid w:val="00326491"/>
    <w:rsid w:val="003313A1"/>
    <w:rsid w:val="003E2DCE"/>
    <w:rsid w:val="00444CDA"/>
    <w:rsid w:val="00533BD5"/>
    <w:rsid w:val="007522A7"/>
    <w:rsid w:val="009449A7"/>
    <w:rsid w:val="00987A58"/>
    <w:rsid w:val="009F61B8"/>
    <w:rsid w:val="00C07684"/>
    <w:rsid w:val="00DA61AD"/>
    <w:rsid w:val="00F71552"/>
    <w:rsid w:val="00F8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99"/>
    <w:rsid w:val="002316CF"/>
    <w:rPr>
      <w:rFonts w:ascii="Calibri" w:hAnsi="Calibri" w:cs="Calibri"/>
      <w:sz w:val="22"/>
      <w:szCs w:val="22"/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3E2D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E2DC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E2D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E2D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E2D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c@bst.com" TargetMode="Externa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mailto:abc@bs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Antonio Ibanez Serrano</cp:lastModifiedBy>
  <cp:revision>6</cp:revision>
  <dcterms:created xsi:type="dcterms:W3CDTF">2025-10-31T10:40:00Z</dcterms:created>
  <dcterms:modified xsi:type="dcterms:W3CDTF">2025-11-25T14:12:00Z</dcterms:modified>
</cp:coreProperties>
</file>